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8C" w:rsidRPr="006F2E67" w:rsidRDefault="00C06A8C" w:rsidP="006F2E67">
      <w:pPr>
        <w:jc w:val="center"/>
        <w:rPr>
          <w:rFonts w:ascii="Footlight MT Light" w:hAnsi="Footlight MT Light"/>
          <w:sz w:val="44"/>
          <w:szCs w:val="44"/>
        </w:rPr>
      </w:pPr>
      <w:bookmarkStart w:id="0" w:name="_GoBack"/>
      <w:bookmarkEnd w:id="0"/>
    </w:p>
    <w:p w:rsidR="006F2E67" w:rsidRPr="006F2E67" w:rsidRDefault="003A784E" w:rsidP="006F2E67">
      <w:pPr>
        <w:jc w:val="center"/>
        <w:rPr>
          <w:rFonts w:ascii="Footlight MT Light" w:hAnsi="Footlight MT Light"/>
          <w:sz w:val="44"/>
          <w:szCs w:val="44"/>
        </w:rPr>
      </w:pPr>
      <w:r>
        <w:rPr>
          <w:rFonts w:ascii="Footlight MT Light" w:hAnsi="Footlight MT Light"/>
          <w:noProof/>
          <w:sz w:val="44"/>
          <w:szCs w:val="44"/>
        </w:rPr>
        <w:drawing>
          <wp:anchor distT="0" distB="0" distL="114300" distR="114300" simplePos="0" relativeHeight="251657728" behindDoc="0" locked="0" layoutInCell="1" allowOverlap="1">
            <wp:simplePos x="0" y="0"/>
            <wp:positionH relativeFrom="column">
              <wp:posOffset>291465</wp:posOffset>
            </wp:positionH>
            <wp:positionV relativeFrom="paragraph">
              <wp:posOffset>1231265</wp:posOffset>
            </wp:positionV>
            <wp:extent cx="5548630" cy="4148455"/>
            <wp:effectExtent l="19050" t="0" r="0" b="0"/>
            <wp:wrapSquare wrapText="bothSides"/>
            <wp:docPr id="2" name="Picture 2" descr="C:\Documents and Settings\kbettis\Local Settings\Temporary Internet Files\Content.IE5\0UQWPUWV\MP900439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bettis\Local Settings\Temporary Internet Files\Content.IE5\0UQWPUWV\MP900439480[1].jpg"/>
                    <pic:cNvPicPr>
                      <a:picLocks noChangeAspect="1" noChangeArrowheads="1"/>
                    </pic:cNvPicPr>
                  </pic:nvPicPr>
                  <pic:blipFill>
                    <a:blip r:embed="rId9" cstate="print"/>
                    <a:srcRect/>
                    <a:stretch>
                      <a:fillRect/>
                    </a:stretch>
                  </pic:blipFill>
                  <pic:spPr bwMode="auto">
                    <a:xfrm>
                      <a:off x="0" y="0"/>
                      <a:ext cx="5548630" cy="4148455"/>
                    </a:xfrm>
                    <a:prstGeom prst="rect">
                      <a:avLst/>
                    </a:prstGeom>
                    <a:noFill/>
                    <a:ln w="9525">
                      <a:noFill/>
                      <a:miter lim="800000"/>
                      <a:headEnd/>
                      <a:tailEnd/>
                    </a:ln>
                  </pic:spPr>
                </pic:pic>
              </a:graphicData>
            </a:graphic>
          </wp:anchor>
        </w:drawing>
      </w:r>
      <w:r w:rsidR="006F2E67" w:rsidRPr="006F2E67">
        <w:rPr>
          <w:rFonts w:ascii="Footlight MT Light" w:hAnsi="Footlight MT Light"/>
          <w:sz w:val="44"/>
          <w:szCs w:val="44"/>
        </w:rPr>
        <w:t>Title I Skipped Schools</w:t>
      </w:r>
      <w:r w:rsidR="003F5744">
        <w:rPr>
          <w:rFonts w:ascii="Footlight MT Light" w:hAnsi="Footlight MT Light"/>
          <w:sz w:val="44"/>
          <w:szCs w:val="44"/>
        </w:rPr>
        <w:t>’</w:t>
      </w:r>
      <w:r w:rsidR="006F2E67" w:rsidRPr="006F2E67">
        <w:rPr>
          <w:rFonts w:ascii="Footlight MT Light" w:hAnsi="Footlight MT Light"/>
          <w:sz w:val="44"/>
          <w:szCs w:val="44"/>
        </w:rPr>
        <w:t xml:space="preserve"> Addendum</w:t>
      </w:r>
    </w:p>
    <w:p w:rsidR="006F2E67" w:rsidRDefault="006F2E67" w:rsidP="006F2E67">
      <w:pPr>
        <w:jc w:val="center"/>
        <w:rPr>
          <w:rFonts w:ascii="Footlight MT Light" w:hAnsi="Footlight MT Light"/>
          <w:sz w:val="44"/>
          <w:szCs w:val="44"/>
        </w:rPr>
      </w:pPr>
      <w:r w:rsidRPr="006F2E67">
        <w:rPr>
          <w:rFonts w:ascii="Footlight MT Light" w:hAnsi="Footlight MT Light"/>
          <w:sz w:val="44"/>
          <w:szCs w:val="44"/>
        </w:rPr>
        <w:t xml:space="preserve">SY </w:t>
      </w:r>
      <w:r w:rsidR="004524AE">
        <w:rPr>
          <w:rFonts w:ascii="Footlight MT Light" w:hAnsi="Footlight MT Light"/>
          <w:sz w:val="44"/>
          <w:szCs w:val="44"/>
        </w:rPr>
        <w:t>2016-2017</w:t>
      </w:r>
    </w:p>
    <w:p w:rsidR="006F2E67" w:rsidRDefault="006F2E67" w:rsidP="006F2E67">
      <w:pPr>
        <w:rPr>
          <w:rFonts w:ascii="Footlight MT Light" w:hAnsi="Footlight MT Light"/>
          <w:sz w:val="24"/>
          <w:szCs w:val="24"/>
        </w:rPr>
      </w:pPr>
    </w:p>
    <w:p w:rsidR="00540805" w:rsidRDefault="00540805" w:rsidP="006F2E67">
      <w:pPr>
        <w:rPr>
          <w:rFonts w:ascii="Footlight MT Light" w:hAnsi="Footlight MT Light"/>
          <w:sz w:val="24"/>
          <w:szCs w:val="24"/>
        </w:rPr>
      </w:pPr>
    </w:p>
    <w:p w:rsidR="006F2E67" w:rsidRPr="006F2E67" w:rsidRDefault="00F7212B" w:rsidP="006F2E67">
      <w:pPr>
        <w:rPr>
          <w:rFonts w:ascii="Footlight MT Light" w:hAnsi="Footlight MT Light"/>
          <w:sz w:val="24"/>
          <w:szCs w:val="24"/>
        </w:rPr>
      </w:pPr>
      <w:r>
        <w:rPr>
          <w:rFonts w:ascii="Footlight MT Light" w:hAnsi="Footlight MT Light"/>
          <w:sz w:val="24"/>
          <w:szCs w:val="24"/>
        </w:rPr>
        <w:t>School System</w:t>
      </w:r>
      <w:r w:rsidR="006F2E67" w:rsidRPr="006F2E67">
        <w:rPr>
          <w:rFonts w:ascii="Footlight MT Light" w:hAnsi="Footlight MT Light"/>
          <w:sz w:val="24"/>
          <w:szCs w:val="24"/>
        </w:rPr>
        <w:t>: _______</w:t>
      </w:r>
      <w:r w:rsidR="006F2E67">
        <w:rPr>
          <w:rFonts w:ascii="Footlight MT Light" w:hAnsi="Footlight MT Light"/>
          <w:sz w:val="24"/>
          <w:szCs w:val="24"/>
        </w:rPr>
        <w:t>__________________________</w:t>
      </w:r>
      <w:r w:rsidR="006F2E67" w:rsidRPr="006F2E67">
        <w:rPr>
          <w:rFonts w:ascii="Footlight MT Light" w:hAnsi="Footlight MT Light"/>
          <w:sz w:val="24"/>
          <w:szCs w:val="24"/>
        </w:rPr>
        <w:t>________________________________</w:t>
      </w:r>
    </w:p>
    <w:p w:rsidR="006F2E67" w:rsidRPr="006F2E67" w:rsidRDefault="006F2E67" w:rsidP="006F2E67">
      <w:pPr>
        <w:rPr>
          <w:rFonts w:ascii="Footlight MT Light" w:hAnsi="Footlight MT Light"/>
          <w:sz w:val="24"/>
          <w:szCs w:val="24"/>
        </w:rPr>
      </w:pPr>
      <w:r w:rsidRPr="006F2E67">
        <w:rPr>
          <w:rFonts w:ascii="Footlight MT Light" w:hAnsi="Footlight MT Light"/>
          <w:sz w:val="24"/>
          <w:szCs w:val="24"/>
        </w:rPr>
        <w:t>Signature/ Date:</w:t>
      </w:r>
    </w:p>
    <w:p w:rsidR="006F2E67" w:rsidRPr="006F2E67" w:rsidRDefault="006F2E67" w:rsidP="006F2E67">
      <w:pPr>
        <w:rPr>
          <w:rFonts w:ascii="Footlight MT Light" w:hAnsi="Footlight MT Light"/>
          <w:sz w:val="24"/>
          <w:szCs w:val="24"/>
        </w:rPr>
      </w:pPr>
      <w:r w:rsidRPr="006F2E67">
        <w:rPr>
          <w:rFonts w:ascii="Footlight MT Light" w:hAnsi="Footlight MT Light"/>
          <w:sz w:val="24"/>
          <w:szCs w:val="24"/>
        </w:rPr>
        <w:t>Title I Coordinator: _______</w:t>
      </w:r>
      <w:r>
        <w:rPr>
          <w:rFonts w:ascii="Footlight MT Light" w:hAnsi="Footlight MT Light"/>
          <w:sz w:val="24"/>
          <w:szCs w:val="24"/>
        </w:rPr>
        <w:t>______________________________________________________</w:t>
      </w:r>
    </w:p>
    <w:p w:rsidR="006F2E67" w:rsidRDefault="006F2E67" w:rsidP="006F2E67">
      <w:pPr>
        <w:rPr>
          <w:rFonts w:ascii="Footlight MT Light" w:hAnsi="Footlight MT Light"/>
          <w:sz w:val="24"/>
          <w:szCs w:val="24"/>
        </w:rPr>
      </w:pPr>
      <w:r w:rsidRPr="006F2E67">
        <w:rPr>
          <w:rFonts w:ascii="Footlight MT Light" w:hAnsi="Footlight MT Light"/>
          <w:sz w:val="24"/>
          <w:szCs w:val="24"/>
        </w:rPr>
        <w:t>Fiscal Representative: _______</w:t>
      </w:r>
      <w:r>
        <w:rPr>
          <w:rFonts w:ascii="Footlight MT Light" w:hAnsi="Footlight MT Light"/>
          <w:sz w:val="24"/>
          <w:szCs w:val="24"/>
        </w:rPr>
        <w:t>_____________________________________________________</w:t>
      </w:r>
    </w:p>
    <w:p w:rsidR="00540805" w:rsidRDefault="00540805" w:rsidP="00F7212B">
      <w:pPr>
        <w:rPr>
          <w:rFonts w:ascii="Footlight MT Light" w:hAnsi="Footlight MT Light"/>
          <w:b/>
          <w:sz w:val="24"/>
          <w:szCs w:val="24"/>
        </w:rPr>
        <w:sectPr w:rsidR="00540805" w:rsidSect="00540805">
          <w:headerReference w:type="default" r:id="rId10"/>
          <w:footerReference w:type="default" r:id="rId11"/>
          <w:pgSz w:w="12240" w:h="15840"/>
          <w:pgMar w:top="1296" w:right="1296" w:bottom="1296" w:left="1296" w:header="720" w:footer="259" w:gutter="0"/>
          <w:cols w:space="720"/>
          <w:docGrid w:linePitch="360"/>
        </w:sectPr>
      </w:pPr>
    </w:p>
    <w:p w:rsidR="006F2E67" w:rsidRPr="009267CF" w:rsidRDefault="00591795" w:rsidP="00F7212B">
      <w:pPr>
        <w:rPr>
          <w:rFonts w:ascii="Footlight MT Light" w:hAnsi="Footlight MT Light"/>
          <w:b/>
          <w:sz w:val="24"/>
          <w:szCs w:val="24"/>
        </w:rPr>
      </w:pPr>
      <w:r w:rsidRPr="009267CF">
        <w:rPr>
          <w:rFonts w:ascii="Footlight MT Light" w:hAnsi="Footlight MT Light"/>
          <w:sz w:val="24"/>
          <w:szCs w:val="24"/>
        </w:rPr>
        <w:lastRenderedPageBreak/>
        <w:t>This addendum should be submitted according to th</w:t>
      </w:r>
      <w:r w:rsidR="00072553" w:rsidRPr="009267CF">
        <w:rPr>
          <w:rFonts w:ascii="Footlight MT Light" w:hAnsi="Footlight MT Light"/>
          <w:sz w:val="24"/>
          <w:szCs w:val="24"/>
        </w:rPr>
        <w:t>e established MSDE timelines for</w:t>
      </w:r>
      <w:r w:rsidRPr="009267CF">
        <w:rPr>
          <w:rFonts w:ascii="Footlight MT Light" w:hAnsi="Footlight MT Light"/>
          <w:sz w:val="24"/>
          <w:szCs w:val="24"/>
        </w:rPr>
        <w:t xml:space="preserve"> Attachment 7 and the Master Plan update. </w:t>
      </w:r>
      <w:r w:rsidR="003F5744" w:rsidRPr="009267CF">
        <w:rPr>
          <w:rFonts w:ascii="Footlight MT Light" w:hAnsi="Footlight MT Light"/>
          <w:sz w:val="24"/>
          <w:szCs w:val="24"/>
        </w:rPr>
        <w:t xml:space="preserve">  </w:t>
      </w:r>
      <w:r w:rsidRPr="009267CF">
        <w:rPr>
          <w:rFonts w:ascii="Footlight MT Light" w:hAnsi="Footlight MT Light"/>
          <w:sz w:val="24"/>
          <w:szCs w:val="24"/>
        </w:rPr>
        <w:t>Please contact your MSDE specialist if you have specific questions regarding this addendum.</w:t>
      </w:r>
      <w:r w:rsidRPr="009267CF">
        <w:rPr>
          <w:rFonts w:ascii="Footlight MT Light" w:hAnsi="Footlight MT Light"/>
          <w:b/>
          <w:sz w:val="24"/>
          <w:szCs w:val="24"/>
        </w:rPr>
        <w:t xml:space="preserve"> </w:t>
      </w:r>
    </w:p>
    <w:p w:rsidR="00591795" w:rsidRPr="00A91A45" w:rsidRDefault="00591795" w:rsidP="00F125D8">
      <w:pPr>
        <w:pStyle w:val="ListParagraph"/>
        <w:ind w:left="0"/>
        <w:rPr>
          <w:rFonts w:ascii="Footlight MT Light" w:hAnsi="Footlight MT Light"/>
          <w:sz w:val="24"/>
          <w:szCs w:val="24"/>
        </w:rPr>
      </w:pPr>
      <w:r w:rsidRPr="00A91A45">
        <w:rPr>
          <w:rFonts w:ascii="Footlight MT Light" w:hAnsi="Footlight MT Light"/>
          <w:sz w:val="24"/>
          <w:szCs w:val="24"/>
        </w:rPr>
        <w:t xml:space="preserve">LEAs are reminded they must notify MSDE and receive written approval before planning to skip Title I eligible schools within a district’s ranking scheme. </w:t>
      </w:r>
    </w:p>
    <w:p w:rsidR="00F125D8" w:rsidRPr="00A91A45" w:rsidRDefault="00F125D8" w:rsidP="00F125D8">
      <w:pPr>
        <w:pStyle w:val="ListParagraph"/>
        <w:ind w:left="0"/>
        <w:rPr>
          <w:rFonts w:ascii="Footlight MT Light" w:hAnsi="Footlight MT Light"/>
          <w:sz w:val="24"/>
          <w:szCs w:val="24"/>
        </w:rPr>
      </w:pPr>
    </w:p>
    <w:p w:rsidR="00F125D8" w:rsidRPr="00A91A45" w:rsidRDefault="00F125D8" w:rsidP="00F125D8">
      <w:pPr>
        <w:pStyle w:val="ListParagraph"/>
        <w:ind w:left="0"/>
        <w:rPr>
          <w:rFonts w:ascii="Footlight MT Light" w:hAnsi="Footlight MT Light"/>
          <w:sz w:val="24"/>
          <w:szCs w:val="24"/>
        </w:rPr>
      </w:pPr>
      <w:r w:rsidRPr="00A91A45">
        <w:rPr>
          <w:rFonts w:ascii="Footlight MT Light" w:hAnsi="Footlight MT Light"/>
          <w:sz w:val="24"/>
          <w:szCs w:val="24"/>
        </w:rPr>
        <w:t>Proof of comparability must be submitted to MSDE with the Comparability Report and the LEA must ensure the schools will be comparable on this addendum. (The skipped schools must be treated as Title I schools when running comparability report).</w:t>
      </w:r>
    </w:p>
    <w:p w:rsidR="00591795" w:rsidRPr="00A91A45" w:rsidRDefault="00591795" w:rsidP="00F7212B">
      <w:pPr>
        <w:pStyle w:val="ListParagraph"/>
        <w:rPr>
          <w:rFonts w:ascii="Footlight MT Light" w:hAnsi="Footlight MT Light"/>
          <w:sz w:val="24"/>
          <w:szCs w:val="24"/>
        </w:rPr>
      </w:pPr>
    </w:p>
    <w:p w:rsidR="00591795" w:rsidRPr="00C2506A" w:rsidRDefault="00591795" w:rsidP="00F125D8">
      <w:pPr>
        <w:pStyle w:val="ListParagraph"/>
        <w:ind w:left="0"/>
        <w:rPr>
          <w:rFonts w:ascii="Footlight MT Light" w:hAnsi="Footlight MT Light"/>
          <w:sz w:val="24"/>
          <w:szCs w:val="24"/>
        </w:rPr>
      </w:pPr>
      <w:r w:rsidRPr="00C2506A">
        <w:rPr>
          <w:rFonts w:ascii="Footlight MT Light" w:hAnsi="Footlight MT Light"/>
          <w:sz w:val="24"/>
          <w:szCs w:val="24"/>
        </w:rPr>
        <w:t>The Title I Skipped Schools Excel worksheet must be completed</w:t>
      </w:r>
      <w:r w:rsidRPr="00C2506A">
        <w:rPr>
          <w:rFonts w:ascii="Footlight MT Light" w:hAnsi="Footlight MT Light"/>
          <w:b/>
          <w:sz w:val="24"/>
          <w:szCs w:val="24"/>
        </w:rPr>
        <w:t xml:space="preserve"> </w:t>
      </w:r>
      <w:r w:rsidRPr="00C2506A">
        <w:rPr>
          <w:rFonts w:ascii="Footlight MT Light" w:hAnsi="Footlight MT Light"/>
          <w:sz w:val="24"/>
          <w:szCs w:val="24"/>
        </w:rPr>
        <w:t>and submitted to MSDE with this addendum.</w:t>
      </w:r>
      <w:r w:rsidR="00891246" w:rsidRPr="00C2506A">
        <w:rPr>
          <w:rFonts w:ascii="Footlight MT Light" w:hAnsi="Footlight MT Light"/>
          <w:sz w:val="24"/>
          <w:szCs w:val="24"/>
        </w:rPr>
        <w:t xml:space="preserve"> The allocation worksheet requires the LEA to identify each skipped schoo</w:t>
      </w:r>
      <w:r w:rsidR="003A6746" w:rsidRPr="00C2506A">
        <w:rPr>
          <w:rFonts w:ascii="Footlight MT Light" w:hAnsi="Footlight MT Light"/>
          <w:sz w:val="24"/>
          <w:szCs w:val="24"/>
        </w:rPr>
        <w:t>l’s code. See table below:</w:t>
      </w:r>
    </w:p>
    <w:tbl>
      <w:tblPr>
        <w:tblW w:w="0" w:type="auto"/>
        <w:tblInd w:w="468" w:type="dxa"/>
        <w:tblCellMar>
          <w:left w:w="0" w:type="dxa"/>
          <w:right w:w="0" w:type="dxa"/>
        </w:tblCellMar>
        <w:tblLook w:val="04A0" w:firstRow="1" w:lastRow="0" w:firstColumn="1" w:lastColumn="0" w:noHBand="0" w:noVBand="1"/>
      </w:tblPr>
      <w:tblGrid>
        <w:gridCol w:w="720"/>
        <w:gridCol w:w="2160"/>
        <w:gridCol w:w="6228"/>
      </w:tblGrid>
      <w:tr w:rsidR="003A6746" w:rsidRPr="003A6746" w:rsidTr="003A6746">
        <w:trPr>
          <w:tblHeader/>
        </w:trPr>
        <w:tc>
          <w:tcPr>
            <w:tcW w:w="720" w:type="dxa"/>
            <w:tcBorders>
              <w:top w:val="double" w:sz="4" w:space="0" w:color="145192"/>
              <w:left w:val="double" w:sz="4" w:space="0" w:color="145192"/>
              <w:bottom w:val="double" w:sz="4" w:space="0" w:color="145192"/>
              <w:right w:val="double" w:sz="4" w:space="0" w:color="145192"/>
            </w:tcBorders>
            <w:shd w:val="clear" w:color="auto" w:fill="145192"/>
            <w:tcMar>
              <w:top w:w="0" w:type="dxa"/>
              <w:left w:w="108" w:type="dxa"/>
              <w:bottom w:w="0" w:type="dxa"/>
              <w:right w:w="108" w:type="dxa"/>
            </w:tcMar>
            <w:hideMark/>
          </w:tcPr>
          <w:p w:rsidR="003A6746" w:rsidRPr="00523553" w:rsidRDefault="003A6746">
            <w:pPr>
              <w:keepNext/>
              <w:jc w:val="center"/>
              <w:rPr>
                <w:rFonts w:ascii="Footlight MT Light" w:hAnsi="Footlight MT Light" w:cs="Arial"/>
                <w:color w:val="FFFFFF"/>
                <w:sz w:val="24"/>
                <w:szCs w:val="24"/>
              </w:rPr>
            </w:pPr>
            <w:r w:rsidRPr="00523553">
              <w:rPr>
                <w:rFonts w:ascii="Footlight MT Light" w:hAnsi="Footlight MT Light"/>
                <w:b/>
                <w:bCs/>
                <w:color w:val="FFFFFF"/>
              </w:rPr>
              <w:t>Code</w:t>
            </w:r>
          </w:p>
        </w:tc>
        <w:tc>
          <w:tcPr>
            <w:tcW w:w="2160" w:type="dxa"/>
            <w:tcBorders>
              <w:top w:val="double" w:sz="4" w:space="0" w:color="145192"/>
              <w:left w:val="nil"/>
              <w:bottom w:val="double" w:sz="4" w:space="0" w:color="145192"/>
              <w:right w:val="double" w:sz="4" w:space="0" w:color="145192"/>
            </w:tcBorders>
            <w:shd w:val="clear" w:color="auto" w:fill="145192"/>
            <w:tcMar>
              <w:top w:w="0" w:type="dxa"/>
              <w:left w:w="108" w:type="dxa"/>
              <w:bottom w:w="0" w:type="dxa"/>
              <w:right w:w="108" w:type="dxa"/>
            </w:tcMar>
            <w:hideMark/>
          </w:tcPr>
          <w:p w:rsidR="003A6746" w:rsidRPr="00523553" w:rsidRDefault="003A6746">
            <w:pPr>
              <w:keepNext/>
              <w:jc w:val="center"/>
              <w:rPr>
                <w:rFonts w:ascii="Footlight MT Light" w:hAnsi="Footlight MT Light" w:cs="Arial"/>
                <w:color w:val="FFFFFF"/>
                <w:sz w:val="24"/>
                <w:szCs w:val="24"/>
              </w:rPr>
            </w:pPr>
            <w:r w:rsidRPr="00523553">
              <w:rPr>
                <w:rFonts w:ascii="Footlight MT Light" w:hAnsi="Footlight MT Light"/>
                <w:b/>
                <w:bCs/>
                <w:color w:val="FFFFFF"/>
              </w:rPr>
              <w:t>School Type</w:t>
            </w:r>
          </w:p>
        </w:tc>
        <w:tc>
          <w:tcPr>
            <w:tcW w:w="6228" w:type="dxa"/>
            <w:tcBorders>
              <w:top w:val="double" w:sz="4" w:space="0" w:color="145192"/>
              <w:left w:val="nil"/>
              <w:bottom w:val="double" w:sz="4" w:space="0" w:color="145192"/>
              <w:right w:val="double" w:sz="4" w:space="0" w:color="145192"/>
            </w:tcBorders>
            <w:shd w:val="clear" w:color="auto" w:fill="145192"/>
            <w:tcMar>
              <w:top w:w="0" w:type="dxa"/>
              <w:left w:w="108" w:type="dxa"/>
              <w:bottom w:w="0" w:type="dxa"/>
              <w:right w:w="108" w:type="dxa"/>
            </w:tcMar>
            <w:hideMark/>
          </w:tcPr>
          <w:p w:rsidR="003A6746" w:rsidRPr="00523553" w:rsidRDefault="003A6746">
            <w:pPr>
              <w:keepNext/>
              <w:jc w:val="center"/>
              <w:rPr>
                <w:rFonts w:ascii="Footlight MT Light" w:hAnsi="Footlight MT Light" w:cs="Arial"/>
                <w:color w:val="FFFFFF"/>
                <w:sz w:val="24"/>
                <w:szCs w:val="24"/>
              </w:rPr>
            </w:pPr>
            <w:r w:rsidRPr="00523553">
              <w:rPr>
                <w:rFonts w:ascii="Footlight MT Light" w:hAnsi="Footlight MT Light"/>
                <w:b/>
                <w:bCs/>
                <w:color w:val="FFFFFF"/>
              </w:rPr>
              <w:t>Description</w:t>
            </w:r>
          </w:p>
        </w:tc>
      </w:tr>
      <w:tr w:rsidR="003A6746" w:rsidRPr="003A6746" w:rsidTr="003A6746">
        <w:trPr>
          <w:cantSplit/>
        </w:trPr>
        <w:tc>
          <w:tcPr>
            <w:tcW w:w="720" w:type="dxa"/>
            <w:tcBorders>
              <w:top w:val="nil"/>
              <w:left w:val="double" w:sz="4" w:space="0" w:color="145192"/>
              <w:bottom w:val="single" w:sz="8" w:space="0" w:color="145192"/>
              <w:right w:val="single" w:sz="8" w:space="0" w:color="145192"/>
            </w:tcBorders>
            <w:tcMar>
              <w:top w:w="0" w:type="dxa"/>
              <w:left w:w="108" w:type="dxa"/>
              <w:bottom w:w="0" w:type="dxa"/>
              <w:right w:w="108" w:type="dxa"/>
            </w:tcMar>
            <w:hideMark/>
          </w:tcPr>
          <w:p w:rsidR="003A6746" w:rsidRPr="00C2506A" w:rsidRDefault="009167A2" w:rsidP="00266D7A">
            <w:pPr>
              <w:spacing w:after="0" w:line="240" w:lineRule="auto"/>
              <w:jc w:val="center"/>
              <w:rPr>
                <w:rFonts w:ascii="Footlight MT Light" w:hAnsi="Footlight MT Light"/>
                <w:b/>
              </w:rPr>
            </w:pPr>
            <w:r w:rsidRPr="00C2506A">
              <w:rPr>
                <w:rFonts w:ascii="Footlight MT Light" w:hAnsi="Footlight MT Light"/>
                <w:b/>
              </w:rPr>
              <w:t>1</w:t>
            </w:r>
          </w:p>
          <w:p w:rsidR="00266D7A" w:rsidRPr="00C2506A" w:rsidRDefault="00266D7A" w:rsidP="009167A2">
            <w:pPr>
              <w:spacing w:after="0" w:line="240" w:lineRule="auto"/>
              <w:jc w:val="center"/>
              <w:rPr>
                <w:rFonts w:ascii="Footlight MT Light" w:hAnsi="Footlight MT Light" w:cs="Arial"/>
                <w:sz w:val="24"/>
                <w:szCs w:val="24"/>
              </w:rPr>
            </w:pPr>
          </w:p>
        </w:tc>
        <w:tc>
          <w:tcPr>
            <w:tcW w:w="2160" w:type="dxa"/>
            <w:tcBorders>
              <w:top w:val="nil"/>
              <w:left w:val="nil"/>
              <w:bottom w:val="single" w:sz="8" w:space="0" w:color="145192"/>
              <w:right w:val="single" w:sz="8" w:space="0" w:color="145192"/>
            </w:tcBorders>
            <w:tcMar>
              <w:top w:w="0" w:type="dxa"/>
              <w:left w:w="108" w:type="dxa"/>
              <w:bottom w:w="0" w:type="dxa"/>
              <w:right w:w="108" w:type="dxa"/>
            </w:tcMar>
            <w:hideMark/>
          </w:tcPr>
          <w:p w:rsidR="003A6746" w:rsidRPr="00C2506A" w:rsidRDefault="003A6746">
            <w:pPr>
              <w:rPr>
                <w:rFonts w:ascii="Footlight MT Light" w:hAnsi="Footlight MT Light" w:cs="Arial"/>
                <w:sz w:val="24"/>
                <w:szCs w:val="24"/>
              </w:rPr>
            </w:pPr>
            <w:r w:rsidRPr="00C2506A">
              <w:rPr>
                <w:rFonts w:ascii="Footlight MT Light" w:hAnsi="Footlight MT Light"/>
              </w:rPr>
              <w:t>Regular School</w:t>
            </w:r>
            <w:r w:rsidR="009167A2" w:rsidRPr="00C2506A">
              <w:rPr>
                <w:rFonts w:ascii="Footlight MT Light" w:hAnsi="Footlight MT Light"/>
              </w:rPr>
              <w:t xml:space="preserve">  (State school codes 12, 13, 15, 16)</w:t>
            </w:r>
          </w:p>
        </w:tc>
        <w:tc>
          <w:tcPr>
            <w:tcW w:w="6228" w:type="dxa"/>
            <w:tcBorders>
              <w:top w:val="nil"/>
              <w:left w:val="nil"/>
              <w:bottom w:val="single" w:sz="8" w:space="0" w:color="145192"/>
              <w:right w:val="double" w:sz="4" w:space="0" w:color="145192"/>
            </w:tcBorders>
            <w:tcMar>
              <w:top w:w="0" w:type="dxa"/>
              <w:left w:w="108" w:type="dxa"/>
              <w:bottom w:w="0" w:type="dxa"/>
              <w:right w:w="108" w:type="dxa"/>
            </w:tcMar>
            <w:hideMark/>
          </w:tcPr>
          <w:p w:rsidR="003A6746" w:rsidRPr="00C2506A" w:rsidRDefault="003A6746">
            <w:pPr>
              <w:rPr>
                <w:rFonts w:ascii="Footlight MT Light" w:hAnsi="Footlight MT Light" w:cs="Arial"/>
                <w:sz w:val="24"/>
                <w:szCs w:val="24"/>
              </w:rPr>
            </w:pPr>
            <w:r w:rsidRPr="00C2506A">
              <w:rPr>
                <w:rFonts w:ascii="Footlight MT Light" w:hAnsi="Footlight MT Light"/>
              </w:rPr>
              <w:t>A public elementary/secondary school that does NOT focus primarily on vocational, special or alternative education, although it may provide these programs in addition to a regular curriculum.</w:t>
            </w:r>
          </w:p>
        </w:tc>
      </w:tr>
      <w:tr w:rsidR="009167A2" w:rsidRPr="003A6746" w:rsidTr="003A6746">
        <w:trPr>
          <w:cantSplit/>
        </w:trPr>
        <w:tc>
          <w:tcPr>
            <w:tcW w:w="720" w:type="dxa"/>
            <w:tcBorders>
              <w:top w:val="nil"/>
              <w:left w:val="double" w:sz="4" w:space="0" w:color="145192"/>
              <w:bottom w:val="single" w:sz="8" w:space="0" w:color="145192"/>
              <w:right w:val="single" w:sz="8" w:space="0" w:color="145192"/>
            </w:tcBorders>
            <w:tcMar>
              <w:top w:w="0" w:type="dxa"/>
              <w:left w:w="108" w:type="dxa"/>
              <w:bottom w:w="0" w:type="dxa"/>
              <w:right w:w="108" w:type="dxa"/>
            </w:tcMar>
            <w:hideMark/>
          </w:tcPr>
          <w:p w:rsidR="009167A2" w:rsidRPr="00C2506A" w:rsidRDefault="00671C87" w:rsidP="00266D7A">
            <w:pPr>
              <w:spacing w:after="0" w:line="240" w:lineRule="auto"/>
              <w:jc w:val="center"/>
              <w:rPr>
                <w:rFonts w:ascii="Footlight MT Light" w:hAnsi="Footlight MT Light"/>
              </w:rPr>
            </w:pPr>
            <w:r w:rsidRPr="00C2506A">
              <w:rPr>
                <w:rFonts w:ascii="Footlight MT Light" w:hAnsi="Footlight MT Light"/>
                <w:b/>
              </w:rPr>
              <w:t>2</w:t>
            </w:r>
            <w:r w:rsidRPr="00C2506A">
              <w:rPr>
                <w:rFonts w:ascii="Footlight MT Light" w:hAnsi="Footlight MT Light"/>
              </w:rPr>
              <w:t>0</w:t>
            </w:r>
          </w:p>
        </w:tc>
        <w:tc>
          <w:tcPr>
            <w:tcW w:w="2160" w:type="dxa"/>
            <w:tcBorders>
              <w:top w:val="nil"/>
              <w:left w:val="nil"/>
              <w:bottom w:val="single" w:sz="8" w:space="0" w:color="145192"/>
              <w:right w:val="single" w:sz="8" w:space="0" w:color="145192"/>
            </w:tcBorders>
            <w:tcMar>
              <w:top w:w="0" w:type="dxa"/>
              <w:left w:w="108" w:type="dxa"/>
              <w:bottom w:w="0" w:type="dxa"/>
              <w:right w:w="108" w:type="dxa"/>
            </w:tcMar>
            <w:hideMark/>
          </w:tcPr>
          <w:p w:rsidR="009167A2" w:rsidRPr="00C2506A" w:rsidRDefault="00671C87">
            <w:pPr>
              <w:rPr>
                <w:rFonts w:ascii="Footlight MT Light" w:hAnsi="Footlight MT Light"/>
              </w:rPr>
            </w:pPr>
            <w:r w:rsidRPr="00C2506A">
              <w:rPr>
                <w:rFonts w:ascii="Footlight MT Light" w:hAnsi="Footlight MT Light"/>
              </w:rPr>
              <w:t>Vocational Education School</w:t>
            </w:r>
          </w:p>
        </w:tc>
        <w:tc>
          <w:tcPr>
            <w:tcW w:w="6228" w:type="dxa"/>
            <w:tcBorders>
              <w:top w:val="nil"/>
              <w:left w:val="nil"/>
              <w:bottom w:val="single" w:sz="8" w:space="0" w:color="145192"/>
              <w:right w:val="double" w:sz="4" w:space="0" w:color="145192"/>
            </w:tcBorders>
            <w:tcMar>
              <w:top w:w="0" w:type="dxa"/>
              <w:left w:w="108" w:type="dxa"/>
              <w:bottom w:w="0" w:type="dxa"/>
              <w:right w:w="108" w:type="dxa"/>
            </w:tcMar>
            <w:hideMark/>
          </w:tcPr>
          <w:p w:rsidR="009167A2" w:rsidRPr="00C2506A" w:rsidRDefault="00671C87">
            <w:pPr>
              <w:rPr>
                <w:rFonts w:ascii="Footlight MT Light" w:hAnsi="Footlight MT Light"/>
              </w:rPr>
            </w:pPr>
            <w:r w:rsidRPr="00C2506A">
              <w:rPr>
                <w:rFonts w:ascii="Footlight MT Light" w:hAnsi="Footlight MT Light"/>
              </w:rPr>
              <w:t>A school that focuses primarily on providing secondary students with an occupationally relevant or career–related curriculum, including formal preparation for vocational, technical or professional occupations.</w:t>
            </w:r>
          </w:p>
        </w:tc>
      </w:tr>
      <w:tr w:rsidR="003A6746" w:rsidRPr="003A6746" w:rsidTr="003A6746">
        <w:trPr>
          <w:cantSplit/>
        </w:trPr>
        <w:tc>
          <w:tcPr>
            <w:tcW w:w="720" w:type="dxa"/>
            <w:tcBorders>
              <w:top w:val="nil"/>
              <w:left w:val="double" w:sz="4" w:space="0" w:color="145192"/>
              <w:bottom w:val="single" w:sz="8" w:space="0" w:color="145192"/>
              <w:right w:val="single" w:sz="8" w:space="0" w:color="145192"/>
            </w:tcBorders>
            <w:tcMar>
              <w:top w:w="0" w:type="dxa"/>
              <w:left w:w="108" w:type="dxa"/>
              <w:bottom w:w="0" w:type="dxa"/>
              <w:right w:w="108" w:type="dxa"/>
            </w:tcMar>
            <w:hideMark/>
          </w:tcPr>
          <w:p w:rsidR="003A6746" w:rsidRPr="00C2506A" w:rsidRDefault="00266D7A" w:rsidP="003A6746">
            <w:pPr>
              <w:jc w:val="center"/>
              <w:rPr>
                <w:rFonts w:ascii="Footlight MT Light" w:hAnsi="Footlight MT Light" w:cs="Arial"/>
                <w:sz w:val="24"/>
                <w:szCs w:val="24"/>
              </w:rPr>
            </w:pPr>
            <w:r w:rsidRPr="00C2506A">
              <w:rPr>
                <w:rFonts w:ascii="Footlight MT Light" w:hAnsi="Footlight MT Light"/>
                <w:b/>
              </w:rPr>
              <w:t>3</w:t>
            </w:r>
            <w:r w:rsidRPr="00C2506A">
              <w:rPr>
                <w:rFonts w:ascii="Footlight MT Light" w:hAnsi="Footlight MT Light"/>
              </w:rPr>
              <w:t>0</w:t>
            </w:r>
          </w:p>
        </w:tc>
        <w:tc>
          <w:tcPr>
            <w:tcW w:w="2160" w:type="dxa"/>
            <w:tcBorders>
              <w:top w:val="nil"/>
              <w:left w:val="nil"/>
              <w:bottom w:val="single" w:sz="8" w:space="0" w:color="145192"/>
              <w:right w:val="single" w:sz="8" w:space="0" w:color="145192"/>
            </w:tcBorders>
            <w:tcMar>
              <w:top w:w="0" w:type="dxa"/>
              <w:left w:w="108" w:type="dxa"/>
              <w:bottom w:w="0" w:type="dxa"/>
              <w:right w:w="108" w:type="dxa"/>
            </w:tcMar>
            <w:hideMark/>
          </w:tcPr>
          <w:p w:rsidR="003A6746" w:rsidRPr="00C2506A" w:rsidRDefault="003A6746">
            <w:pPr>
              <w:rPr>
                <w:rFonts w:ascii="Footlight MT Light" w:hAnsi="Footlight MT Light" w:cs="Arial"/>
                <w:sz w:val="24"/>
                <w:szCs w:val="24"/>
              </w:rPr>
            </w:pPr>
            <w:r w:rsidRPr="00C2506A">
              <w:rPr>
                <w:rFonts w:ascii="Footlight MT Light" w:hAnsi="Footlight MT Light"/>
              </w:rPr>
              <w:t>Special Education School</w:t>
            </w:r>
          </w:p>
        </w:tc>
        <w:tc>
          <w:tcPr>
            <w:tcW w:w="6228" w:type="dxa"/>
            <w:tcBorders>
              <w:top w:val="nil"/>
              <w:left w:val="nil"/>
              <w:bottom w:val="single" w:sz="8" w:space="0" w:color="145192"/>
              <w:right w:val="double" w:sz="4" w:space="0" w:color="145192"/>
            </w:tcBorders>
            <w:tcMar>
              <w:top w:w="0" w:type="dxa"/>
              <w:left w:w="108" w:type="dxa"/>
              <w:bottom w:w="0" w:type="dxa"/>
              <w:right w:w="108" w:type="dxa"/>
            </w:tcMar>
            <w:hideMark/>
          </w:tcPr>
          <w:p w:rsidR="003A6746" w:rsidRPr="00C2506A" w:rsidRDefault="003A6746">
            <w:pPr>
              <w:rPr>
                <w:rFonts w:ascii="Footlight MT Light" w:hAnsi="Footlight MT Light" w:cs="Arial"/>
                <w:sz w:val="24"/>
                <w:szCs w:val="24"/>
              </w:rPr>
            </w:pPr>
            <w:r w:rsidRPr="00C2506A">
              <w:rPr>
                <w:rFonts w:ascii="Footlight MT Light" w:hAnsi="Footlight MT Light"/>
              </w:rPr>
              <w:t>A public elementary/secondary school that focuses primarily on serving the needs of students with disabilities.</w:t>
            </w:r>
          </w:p>
        </w:tc>
      </w:tr>
      <w:tr w:rsidR="003A6746" w:rsidRPr="003A6746" w:rsidTr="003A6746">
        <w:tc>
          <w:tcPr>
            <w:tcW w:w="720" w:type="dxa"/>
            <w:tcBorders>
              <w:top w:val="nil"/>
              <w:left w:val="double" w:sz="4" w:space="0" w:color="145192"/>
              <w:bottom w:val="single" w:sz="8" w:space="0" w:color="145192"/>
              <w:right w:val="single" w:sz="8" w:space="0" w:color="145192"/>
            </w:tcBorders>
            <w:tcMar>
              <w:top w:w="0" w:type="dxa"/>
              <w:left w:w="108" w:type="dxa"/>
              <w:bottom w:w="0" w:type="dxa"/>
              <w:right w:w="108" w:type="dxa"/>
            </w:tcMar>
            <w:hideMark/>
          </w:tcPr>
          <w:p w:rsidR="003A6746" w:rsidRPr="00C2506A" w:rsidRDefault="003A6746" w:rsidP="003A6746">
            <w:pPr>
              <w:jc w:val="center"/>
              <w:rPr>
                <w:rFonts w:ascii="Footlight MT Light" w:hAnsi="Footlight MT Light" w:cs="Arial"/>
                <w:sz w:val="24"/>
                <w:szCs w:val="24"/>
              </w:rPr>
            </w:pPr>
            <w:r w:rsidRPr="00C2506A">
              <w:rPr>
                <w:rFonts w:ascii="Footlight MT Light" w:hAnsi="Footlight MT Light"/>
                <w:b/>
              </w:rPr>
              <w:t>4</w:t>
            </w:r>
            <w:r w:rsidR="00266D7A" w:rsidRPr="00C2506A">
              <w:rPr>
                <w:rFonts w:ascii="Footlight MT Light" w:hAnsi="Footlight MT Light"/>
              </w:rPr>
              <w:t>0</w:t>
            </w:r>
          </w:p>
        </w:tc>
        <w:tc>
          <w:tcPr>
            <w:tcW w:w="2160" w:type="dxa"/>
            <w:tcBorders>
              <w:top w:val="nil"/>
              <w:left w:val="nil"/>
              <w:bottom w:val="single" w:sz="8" w:space="0" w:color="145192"/>
              <w:right w:val="single" w:sz="8" w:space="0" w:color="145192"/>
            </w:tcBorders>
            <w:tcMar>
              <w:top w:w="0" w:type="dxa"/>
              <w:left w:w="108" w:type="dxa"/>
              <w:bottom w:w="0" w:type="dxa"/>
              <w:right w:w="108" w:type="dxa"/>
            </w:tcMar>
            <w:hideMark/>
          </w:tcPr>
          <w:p w:rsidR="003A6746" w:rsidRPr="00C2506A" w:rsidRDefault="003A6746">
            <w:pPr>
              <w:rPr>
                <w:rFonts w:ascii="Footlight MT Light" w:hAnsi="Footlight MT Light" w:cs="Arial"/>
                <w:sz w:val="24"/>
                <w:szCs w:val="24"/>
              </w:rPr>
            </w:pPr>
            <w:r w:rsidRPr="00C2506A">
              <w:rPr>
                <w:rFonts w:ascii="Footlight MT Light" w:hAnsi="Footlight MT Light"/>
              </w:rPr>
              <w:t>Alternative Education School</w:t>
            </w:r>
          </w:p>
        </w:tc>
        <w:tc>
          <w:tcPr>
            <w:tcW w:w="6228" w:type="dxa"/>
            <w:tcBorders>
              <w:top w:val="nil"/>
              <w:left w:val="nil"/>
              <w:bottom w:val="single" w:sz="8" w:space="0" w:color="145192"/>
              <w:right w:val="double" w:sz="4" w:space="0" w:color="145192"/>
            </w:tcBorders>
            <w:tcMar>
              <w:top w:w="0" w:type="dxa"/>
              <w:left w:w="108" w:type="dxa"/>
              <w:bottom w:w="0" w:type="dxa"/>
              <w:right w:w="108" w:type="dxa"/>
            </w:tcMar>
            <w:hideMark/>
          </w:tcPr>
          <w:p w:rsidR="003A6746" w:rsidRPr="00C2506A" w:rsidRDefault="003A6746">
            <w:pPr>
              <w:rPr>
                <w:rFonts w:ascii="Footlight MT Light" w:hAnsi="Footlight MT Light" w:cs="Arial"/>
                <w:sz w:val="24"/>
                <w:szCs w:val="24"/>
              </w:rPr>
            </w:pPr>
            <w:r w:rsidRPr="00C2506A">
              <w:rPr>
                <w:rFonts w:ascii="Footlight MT Light" w:hAnsi="Footlight MT Light"/>
              </w:rPr>
              <w:t>A public elementary/secondary school that addresses the needs of students that typically cannot be met in a regular school program. The school provides nontraditional education; serves as an adjunct to a regular school; and falls outside the categories of regular, special education, or vocational education.</w:t>
            </w:r>
          </w:p>
        </w:tc>
      </w:tr>
    </w:tbl>
    <w:p w:rsidR="003A6746" w:rsidRPr="00072553" w:rsidRDefault="003A6746" w:rsidP="003A6746">
      <w:pPr>
        <w:pStyle w:val="ListParagraph"/>
        <w:rPr>
          <w:rFonts w:ascii="Footlight MT Light" w:hAnsi="Footlight MT Light"/>
          <w:b/>
          <w:sz w:val="24"/>
          <w:szCs w:val="24"/>
        </w:rPr>
      </w:pPr>
    </w:p>
    <w:p w:rsidR="00591795" w:rsidRPr="00C2506A" w:rsidRDefault="00A91A45" w:rsidP="00F125D8">
      <w:pPr>
        <w:pStyle w:val="ListParagraph"/>
        <w:ind w:left="0"/>
        <w:rPr>
          <w:rFonts w:ascii="Footlight MT Light" w:hAnsi="Footlight MT Light"/>
          <w:b/>
          <w:sz w:val="24"/>
          <w:szCs w:val="24"/>
        </w:rPr>
      </w:pPr>
      <w:r w:rsidRPr="00C2506A">
        <w:rPr>
          <w:rFonts w:ascii="Footlight MT Light" w:hAnsi="Footlight MT Light"/>
          <w:b/>
          <w:sz w:val="24"/>
          <w:szCs w:val="24"/>
        </w:rPr>
        <w:t>Section A:</w:t>
      </w:r>
      <w:r w:rsidR="00F125D8" w:rsidRPr="00C2506A">
        <w:rPr>
          <w:rFonts w:ascii="Footlight MT Light" w:hAnsi="Footlight MT Light"/>
          <w:b/>
          <w:sz w:val="24"/>
          <w:szCs w:val="24"/>
        </w:rPr>
        <w:t xml:space="preserve"> Code 1</w:t>
      </w:r>
      <w:r w:rsidR="00671C87" w:rsidRPr="00C2506A">
        <w:rPr>
          <w:rFonts w:ascii="Footlight MT Light" w:hAnsi="Footlight MT Light"/>
          <w:b/>
          <w:sz w:val="24"/>
          <w:szCs w:val="24"/>
        </w:rPr>
        <w:t xml:space="preserve"> (1</w:t>
      </w:r>
      <w:r w:rsidR="00266D7A" w:rsidRPr="00C2506A">
        <w:rPr>
          <w:rFonts w:ascii="Footlight MT Light" w:hAnsi="Footlight MT Light"/>
          <w:b/>
          <w:sz w:val="24"/>
          <w:szCs w:val="24"/>
        </w:rPr>
        <w:t xml:space="preserve">2, 13, 15, </w:t>
      </w:r>
      <w:r w:rsidR="007A5466" w:rsidRPr="00C2506A">
        <w:rPr>
          <w:rFonts w:ascii="Footlight MT Light" w:hAnsi="Footlight MT Light"/>
          <w:b/>
          <w:sz w:val="24"/>
          <w:szCs w:val="24"/>
        </w:rPr>
        <w:t xml:space="preserve">and </w:t>
      </w:r>
      <w:r w:rsidR="00266D7A" w:rsidRPr="00C2506A">
        <w:rPr>
          <w:rFonts w:ascii="Footlight MT Light" w:hAnsi="Footlight MT Light"/>
          <w:b/>
          <w:sz w:val="24"/>
          <w:szCs w:val="24"/>
        </w:rPr>
        <w:t>16</w:t>
      </w:r>
      <w:r w:rsidR="00F125D8" w:rsidRPr="00C2506A">
        <w:rPr>
          <w:rFonts w:ascii="Footlight MT Light" w:hAnsi="Footlight MT Light"/>
          <w:b/>
          <w:sz w:val="24"/>
          <w:szCs w:val="24"/>
        </w:rPr>
        <w:t xml:space="preserve"> Schools</w:t>
      </w:r>
      <w:r w:rsidR="00671C87" w:rsidRPr="00C2506A">
        <w:rPr>
          <w:rFonts w:ascii="Footlight MT Light" w:hAnsi="Footlight MT Light"/>
          <w:b/>
          <w:sz w:val="24"/>
          <w:szCs w:val="24"/>
        </w:rPr>
        <w:t>) - Regular Schools</w:t>
      </w:r>
    </w:p>
    <w:p w:rsidR="00591795" w:rsidRPr="00C2506A" w:rsidRDefault="00591795" w:rsidP="00F7212B">
      <w:pPr>
        <w:pStyle w:val="ListParagraph"/>
        <w:rPr>
          <w:rFonts w:ascii="Footlight MT Light" w:hAnsi="Footlight MT Light"/>
          <w:b/>
          <w:sz w:val="24"/>
          <w:szCs w:val="24"/>
        </w:rPr>
      </w:pPr>
    </w:p>
    <w:p w:rsidR="00F125D8" w:rsidRPr="00C2506A" w:rsidRDefault="00A91A45" w:rsidP="00F125D8">
      <w:pPr>
        <w:pStyle w:val="ListParagraph"/>
        <w:numPr>
          <w:ilvl w:val="0"/>
          <w:numId w:val="2"/>
        </w:numPr>
        <w:spacing w:after="0"/>
        <w:ind w:left="0"/>
        <w:rPr>
          <w:rFonts w:ascii="Footlight MT Light" w:hAnsi="Footlight MT Light"/>
          <w:sz w:val="24"/>
          <w:szCs w:val="24"/>
        </w:rPr>
      </w:pPr>
      <w:r w:rsidRPr="00C2506A">
        <w:rPr>
          <w:rFonts w:ascii="Footlight MT Light" w:hAnsi="Footlight MT Light"/>
          <w:sz w:val="24"/>
          <w:szCs w:val="24"/>
        </w:rPr>
        <w:t>Provide a</w:t>
      </w:r>
      <w:r w:rsidR="00591795" w:rsidRPr="00C2506A">
        <w:rPr>
          <w:rFonts w:ascii="Footlight MT Light" w:hAnsi="Footlight MT Light"/>
          <w:sz w:val="24"/>
          <w:szCs w:val="24"/>
        </w:rPr>
        <w:t xml:space="preserve"> full description (in narrative form) of the Title I- like services in each </w:t>
      </w:r>
      <w:r w:rsidR="00072553" w:rsidRPr="00C2506A">
        <w:rPr>
          <w:rFonts w:ascii="Footlight MT Light" w:hAnsi="Footlight MT Light"/>
          <w:sz w:val="24"/>
          <w:szCs w:val="24"/>
        </w:rPr>
        <w:t>Code 1</w:t>
      </w:r>
      <w:r w:rsidR="00671C87" w:rsidRPr="00C2506A">
        <w:rPr>
          <w:rFonts w:ascii="Footlight MT Light" w:hAnsi="Footlight MT Light"/>
          <w:sz w:val="24"/>
          <w:szCs w:val="24"/>
        </w:rPr>
        <w:t xml:space="preserve"> </w:t>
      </w:r>
      <w:r w:rsidR="00591795" w:rsidRPr="00C2506A">
        <w:rPr>
          <w:rFonts w:ascii="Footlight MT Light" w:hAnsi="Footlight MT Light"/>
          <w:sz w:val="24"/>
          <w:szCs w:val="24"/>
        </w:rPr>
        <w:t>school</w:t>
      </w:r>
      <w:r w:rsidR="009267CF" w:rsidRPr="00C2506A">
        <w:rPr>
          <w:rFonts w:ascii="Footlight MT Light" w:hAnsi="Footlight MT Light"/>
          <w:sz w:val="24"/>
          <w:szCs w:val="24"/>
        </w:rPr>
        <w:t>. The descriptions</w:t>
      </w:r>
      <w:r w:rsidR="00591795" w:rsidRPr="00C2506A">
        <w:rPr>
          <w:rFonts w:ascii="Footlight MT Light" w:hAnsi="Footlight MT Light"/>
          <w:sz w:val="24"/>
          <w:szCs w:val="24"/>
        </w:rPr>
        <w:t xml:space="preserve"> must be submitted to MSDE with this addendum. These services must be targeted to specific students or used to provide instructional reform </w:t>
      </w:r>
      <w:r w:rsidR="00F7212B" w:rsidRPr="00C2506A">
        <w:rPr>
          <w:rFonts w:ascii="Footlight MT Light" w:hAnsi="Footlight MT Light"/>
          <w:sz w:val="24"/>
          <w:szCs w:val="24"/>
        </w:rPr>
        <w:t>throughout</w:t>
      </w:r>
      <w:r w:rsidR="00591795" w:rsidRPr="00C2506A">
        <w:rPr>
          <w:rFonts w:ascii="Footlight MT Light" w:hAnsi="Footlight MT Light"/>
          <w:sz w:val="24"/>
          <w:szCs w:val="24"/>
        </w:rPr>
        <w:t xml:space="preserve"> the school. (Note: Title I- like means the schools must meet the requirements of Section </w:t>
      </w:r>
      <w:r w:rsidR="00072553" w:rsidRPr="00C2506A">
        <w:rPr>
          <w:rFonts w:ascii="Footlight MT Light" w:hAnsi="Footlight MT Light"/>
          <w:sz w:val="24"/>
          <w:szCs w:val="24"/>
        </w:rPr>
        <w:t>1</w:t>
      </w:r>
      <w:r w:rsidR="00591795" w:rsidRPr="00C2506A">
        <w:rPr>
          <w:rFonts w:ascii="Footlight MT Light" w:hAnsi="Footlight MT Light"/>
          <w:sz w:val="24"/>
          <w:szCs w:val="24"/>
        </w:rPr>
        <w:t xml:space="preserve">114 or </w:t>
      </w:r>
      <w:r w:rsidR="00072553" w:rsidRPr="00C2506A">
        <w:rPr>
          <w:rFonts w:ascii="Footlight MT Light" w:hAnsi="Footlight MT Light"/>
          <w:sz w:val="24"/>
          <w:szCs w:val="24"/>
        </w:rPr>
        <w:t>1</w:t>
      </w:r>
      <w:r w:rsidR="00F91F0F" w:rsidRPr="00C2506A">
        <w:rPr>
          <w:rFonts w:ascii="Footlight MT Light" w:hAnsi="Footlight MT Light"/>
          <w:sz w:val="24"/>
          <w:szCs w:val="24"/>
        </w:rPr>
        <w:t>115</w:t>
      </w:r>
      <w:r w:rsidR="00591795" w:rsidRPr="00C2506A">
        <w:rPr>
          <w:rFonts w:ascii="Footlight MT Light" w:hAnsi="Footlight MT Light"/>
          <w:sz w:val="24"/>
          <w:szCs w:val="24"/>
        </w:rPr>
        <w:t>)</w:t>
      </w:r>
      <w:r w:rsidR="00F91F0F" w:rsidRPr="00C2506A">
        <w:rPr>
          <w:rFonts w:ascii="Footlight MT Light" w:hAnsi="Footlight MT Light"/>
          <w:sz w:val="24"/>
          <w:szCs w:val="24"/>
        </w:rPr>
        <w:t>.</w:t>
      </w:r>
      <w:r w:rsidR="00F125D8" w:rsidRPr="00C2506A">
        <w:rPr>
          <w:rFonts w:ascii="Footlight MT Light" w:hAnsi="Footlight MT Light"/>
          <w:sz w:val="24"/>
          <w:szCs w:val="24"/>
        </w:rPr>
        <w:t xml:space="preserve"> </w:t>
      </w:r>
    </w:p>
    <w:p w:rsidR="00F125D8" w:rsidRPr="00C2506A" w:rsidRDefault="00F125D8" w:rsidP="00F125D8">
      <w:pPr>
        <w:pStyle w:val="ListParagraph"/>
        <w:spacing w:after="0"/>
        <w:ind w:left="0"/>
        <w:rPr>
          <w:rFonts w:ascii="Footlight MT Light" w:hAnsi="Footlight MT Light"/>
          <w:sz w:val="24"/>
          <w:szCs w:val="24"/>
        </w:rPr>
      </w:pPr>
    </w:p>
    <w:p w:rsidR="00F125D8" w:rsidRPr="00C2506A" w:rsidRDefault="00A91A45" w:rsidP="00F125D8">
      <w:pPr>
        <w:pStyle w:val="ListParagraph"/>
        <w:numPr>
          <w:ilvl w:val="0"/>
          <w:numId w:val="2"/>
        </w:numPr>
        <w:spacing w:after="0"/>
        <w:ind w:left="0"/>
        <w:rPr>
          <w:rFonts w:ascii="Footlight MT Light" w:hAnsi="Footlight MT Light"/>
          <w:sz w:val="24"/>
          <w:szCs w:val="24"/>
        </w:rPr>
      </w:pPr>
      <w:r w:rsidRPr="00C2506A">
        <w:rPr>
          <w:rFonts w:ascii="Footlight MT Light" w:hAnsi="Footlight MT Light"/>
          <w:sz w:val="24"/>
          <w:szCs w:val="24"/>
        </w:rPr>
        <w:t xml:space="preserve">Calculate </w:t>
      </w:r>
      <w:r w:rsidR="00F125D8" w:rsidRPr="00C2506A">
        <w:rPr>
          <w:rFonts w:ascii="Footlight MT Light" w:hAnsi="Footlight MT Light"/>
          <w:sz w:val="24"/>
          <w:szCs w:val="24"/>
        </w:rPr>
        <w:t xml:space="preserve">Equitable Services to Students in Private Schools for Code 1 schools on the Title I </w:t>
      </w:r>
      <w:r w:rsidR="009267CF" w:rsidRPr="00C2506A">
        <w:rPr>
          <w:rFonts w:ascii="Footlight MT Light" w:hAnsi="Footlight MT Light"/>
          <w:sz w:val="24"/>
          <w:szCs w:val="24"/>
        </w:rPr>
        <w:t>A</w:t>
      </w:r>
      <w:r w:rsidR="00F125D8" w:rsidRPr="00C2506A">
        <w:rPr>
          <w:rFonts w:ascii="Footlight MT Light" w:hAnsi="Footlight MT Light"/>
          <w:sz w:val="24"/>
          <w:szCs w:val="24"/>
        </w:rPr>
        <w:t xml:space="preserve">llocation </w:t>
      </w:r>
      <w:r w:rsidR="009267CF" w:rsidRPr="00C2506A">
        <w:rPr>
          <w:rFonts w:ascii="Footlight MT Light" w:hAnsi="Footlight MT Light"/>
          <w:sz w:val="24"/>
          <w:szCs w:val="24"/>
        </w:rPr>
        <w:t>W</w:t>
      </w:r>
      <w:r w:rsidR="00F125D8" w:rsidRPr="00C2506A">
        <w:rPr>
          <w:rFonts w:ascii="Footlight MT Light" w:hAnsi="Footlight MT Light"/>
          <w:sz w:val="24"/>
          <w:szCs w:val="24"/>
        </w:rPr>
        <w:t>orksheet. This rule does not apply for schools in Code</w:t>
      </w:r>
      <w:r w:rsidRPr="00C2506A">
        <w:rPr>
          <w:rFonts w:ascii="Footlight MT Light" w:hAnsi="Footlight MT Light"/>
          <w:sz w:val="24"/>
          <w:szCs w:val="24"/>
        </w:rPr>
        <w:t>s</w:t>
      </w:r>
      <w:r w:rsidR="00F125D8" w:rsidRPr="00C2506A">
        <w:rPr>
          <w:rFonts w:ascii="Footlight MT Light" w:hAnsi="Footlight MT Light"/>
          <w:sz w:val="24"/>
          <w:szCs w:val="24"/>
        </w:rPr>
        <w:t xml:space="preserve"> 2</w:t>
      </w:r>
      <w:r w:rsidR="00266D7A" w:rsidRPr="00C2506A">
        <w:rPr>
          <w:rFonts w:ascii="Footlight MT Light" w:hAnsi="Footlight MT Light"/>
          <w:sz w:val="24"/>
          <w:szCs w:val="24"/>
        </w:rPr>
        <w:t>0</w:t>
      </w:r>
      <w:r w:rsidR="00F125D8" w:rsidRPr="00C2506A">
        <w:rPr>
          <w:rFonts w:ascii="Footlight MT Light" w:hAnsi="Footlight MT Light"/>
          <w:sz w:val="24"/>
          <w:szCs w:val="24"/>
        </w:rPr>
        <w:t>, 3</w:t>
      </w:r>
      <w:r w:rsidR="00266D7A" w:rsidRPr="00C2506A">
        <w:rPr>
          <w:rFonts w:ascii="Footlight MT Light" w:hAnsi="Footlight MT Light"/>
          <w:sz w:val="24"/>
          <w:szCs w:val="24"/>
        </w:rPr>
        <w:t>0</w:t>
      </w:r>
      <w:r w:rsidR="00F125D8" w:rsidRPr="00C2506A">
        <w:rPr>
          <w:rFonts w:ascii="Footlight MT Light" w:hAnsi="Footlight MT Light"/>
          <w:sz w:val="24"/>
          <w:szCs w:val="24"/>
        </w:rPr>
        <w:t>, and 4</w:t>
      </w:r>
      <w:r w:rsidR="00266D7A" w:rsidRPr="00C2506A">
        <w:rPr>
          <w:rFonts w:ascii="Footlight MT Light" w:hAnsi="Footlight MT Light"/>
          <w:sz w:val="24"/>
          <w:szCs w:val="24"/>
        </w:rPr>
        <w:t>0</w:t>
      </w:r>
      <w:r w:rsidR="00F125D8" w:rsidRPr="00C2506A">
        <w:rPr>
          <w:rFonts w:ascii="Footlight MT Light" w:hAnsi="Footlight MT Light"/>
          <w:sz w:val="24"/>
          <w:szCs w:val="24"/>
        </w:rPr>
        <w:t>.</w:t>
      </w:r>
    </w:p>
    <w:p w:rsidR="00591795" w:rsidRPr="000E3DE1" w:rsidRDefault="00591795" w:rsidP="00F125D8">
      <w:pPr>
        <w:pStyle w:val="ListParagraph"/>
        <w:ind w:left="0"/>
        <w:rPr>
          <w:rFonts w:ascii="Footlight MT Light" w:hAnsi="Footlight MT Light"/>
          <w:b/>
          <w:color w:val="FF0000"/>
          <w:sz w:val="24"/>
          <w:szCs w:val="24"/>
        </w:rPr>
      </w:pPr>
    </w:p>
    <w:p w:rsidR="00F7212B" w:rsidRPr="00F7212B" w:rsidRDefault="00F7212B" w:rsidP="00F125D8">
      <w:pPr>
        <w:pStyle w:val="ListParagraph"/>
        <w:ind w:left="0"/>
        <w:rPr>
          <w:rFonts w:ascii="Footlight MT Light" w:hAnsi="Footlight MT Light"/>
          <w:b/>
          <w:sz w:val="24"/>
          <w:szCs w:val="24"/>
        </w:rPr>
      </w:pPr>
    </w:p>
    <w:p w:rsidR="00F125D8" w:rsidRPr="00C2506A" w:rsidRDefault="00F7212B" w:rsidP="00F125D8">
      <w:pPr>
        <w:pStyle w:val="ListParagraph"/>
        <w:numPr>
          <w:ilvl w:val="0"/>
          <w:numId w:val="2"/>
        </w:numPr>
        <w:spacing w:after="0"/>
        <w:ind w:left="0"/>
        <w:rPr>
          <w:rFonts w:ascii="Footlight MT Light" w:hAnsi="Footlight MT Light"/>
          <w:sz w:val="24"/>
          <w:szCs w:val="24"/>
        </w:rPr>
      </w:pPr>
      <w:r w:rsidRPr="00C2506A">
        <w:rPr>
          <w:rFonts w:ascii="Footlight MT Light" w:hAnsi="Footlight MT Light"/>
          <w:sz w:val="24"/>
          <w:szCs w:val="24"/>
        </w:rPr>
        <w:t xml:space="preserve">Attach documentation in which </w:t>
      </w:r>
      <w:r w:rsidR="007409AE" w:rsidRPr="00C2506A">
        <w:rPr>
          <w:rFonts w:ascii="Footlight MT Light" w:hAnsi="Footlight MT Light"/>
          <w:sz w:val="24"/>
          <w:szCs w:val="24"/>
        </w:rPr>
        <w:t>additional State or local funding</w:t>
      </w:r>
      <w:r w:rsidRPr="00C2506A">
        <w:rPr>
          <w:rFonts w:ascii="Footlight MT Light" w:hAnsi="Footlight MT Light"/>
          <w:sz w:val="24"/>
          <w:szCs w:val="24"/>
        </w:rPr>
        <w:t xml:space="preserve"> was approved </w:t>
      </w:r>
      <w:r w:rsidR="007409AE" w:rsidRPr="00C2506A">
        <w:rPr>
          <w:rFonts w:ascii="Footlight MT Light" w:hAnsi="Footlight MT Light"/>
          <w:sz w:val="24"/>
          <w:szCs w:val="24"/>
        </w:rPr>
        <w:t>for Code 1</w:t>
      </w:r>
      <w:r w:rsidR="00671C87" w:rsidRPr="00C2506A">
        <w:rPr>
          <w:rFonts w:ascii="Footlight MT Light" w:hAnsi="Footlight MT Light"/>
          <w:sz w:val="24"/>
          <w:szCs w:val="24"/>
        </w:rPr>
        <w:t xml:space="preserve"> </w:t>
      </w:r>
      <w:r w:rsidR="007409AE" w:rsidRPr="00C2506A">
        <w:rPr>
          <w:rFonts w:ascii="Footlight MT Light" w:hAnsi="Footlight MT Light"/>
          <w:sz w:val="24"/>
          <w:szCs w:val="24"/>
        </w:rPr>
        <w:t xml:space="preserve">schools. (Note: Additional </w:t>
      </w:r>
      <w:r w:rsidRPr="00C2506A">
        <w:rPr>
          <w:rFonts w:ascii="Footlight MT Light" w:hAnsi="Footlight MT Light"/>
          <w:sz w:val="24"/>
          <w:szCs w:val="24"/>
        </w:rPr>
        <w:t xml:space="preserve">funding for </w:t>
      </w:r>
      <w:r w:rsidR="00266D7A" w:rsidRPr="00C2506A">
        <w:rPr>
          <w:rFonts w:ascii="Footlight MT Light" w:hAnsi="Footlight MT Light"/>
          <w:sz w:val="24"/>
          <w:szCs w:val="24"/>
        </w:rPr>
        <w:t xml:space="preserve">these schools that are skipped </w:t>
      </w:r>
      <w:r w:rsidRPr="00C2506A">
        <w:rPr>
          <w:rFonts w:ascii="Footlight MT Light" w:hAnsi="Footlight MT Light"/>
          <w:sz w:val="24"/>
          <w:szCs w:val="24"/>
        </w:rPr>
        <w:t xml:space="preserve">must appear as separate fund codes that </w:t>
      </w:r>
      <w:r w:rsidR="007409AE" w:rsidRPr="00C2506A">
        <w:rPr>
          <w:rFonts w:ascii="Footlight MT Light" w:hAnsi="Footlight MT Light"/>
          <w:sz w:val="24"/>
          <w:szCs w:val="24"/>
        </w:rPr>
        <w:t>can be</w:t>
      </w:r>
      <w:r w:rsidRPr="00C2506A">
        <w:rPr>
          <w:rFonts w:ascii="Footlight MT Light" w:hAnsi="Footlight MT Light"/>
          <w:sz w:val="24"/>
          <w:szCs w:val="24"/>
        </w:rPr>
        <w:t xml:space="preserve"> tracked to each </w:t>
      </w:r>
      <w:r w:rsidR="00F91F0F" w:rsidRPr="00C2506A">
        <w:rPr>
          <w:rFonts w:ascii="Footlight MT Light" w:hAnsi="Footlight MT Light"/>
          <w:sz w:val="24"/>
          <w:szCs w:val="24"/>
        </w:rPr>
        <w:t>skipped school</w:t>
      </w:r>
      <w:r w:rsidRPr="00C2506A">
        <w:rPr>
          <w:rFonts w:ascii="Footlight MT Light" w:hAnsi="Footlight MT Light"/>
          <w:sz w:val="24"/>
          <w:szCs w:val="24"/>
        </w:rPr>
        <w:t>)</w:t>
      </w:r>
      <w:r w:rsidR="00F91F0F" w:rsidRPr="00C2506A">
        <w:rPr>
          <w:rFonts w:ascii="Footlight MT Light" w:hAnsi="Footlight MT Light"/>
          <w:sz w:val="24"/>
          <w:szCs w:val="24"/>
        </w:rPr>
        <w:t>.</w:t>
      </w:r>
    </w:p>
    <w:p w:rsidR="00F125D8" w:rsidRPr="00C2506A" w:rsidRDefault="00F125D8" w:rsidP="00F125D8">
      <w:pPr>
        <w:pStyle w:val="ListParagraph"/>
        <w:spacing w:after="0"/>
        <w:ind w:left="0"/>
        <w:rPr>
          <w:rFonts w:ascii="Footlight MT Light" w:hAnsi="Footlight MT Light"/>
          <w:sz w:val="24"/>
          <w:szCs w:val="24"/>
        </w:rPr>
      </w:pPr>
    </w:p>
    <w:p w:rsidR="00F125D8" w:rsidRPr="00C2506A" w:rsidRDefault="00493434" w:rsidP="00F125D8">
      <w:pPr>
        <w:pStyle w:val="ListParagraph"/>
        <w:spacing w:after="0"/>
        <w:ind w:left="0"/>
        <w:rPr>
          <w:rFonts w:ascii="Footlight MT Light" w:hAnsi="Footlight MT Light"/>
          <w:b/>
          <w:sz w:val="24"/>
          <w:szCs w:val="24"/>
        </w:rPr>
      </w:pPr>
      <w:r w:rsidRPr="00C2506A">
        <w:rPr>
          <w:rFonts w:ascii="Footlight MT Light" w:hAnsi="Footlight MT Light"/>
          <w:b/>
          <w:sz w:val="24"/>
          <w:szCs w:val="24"/>
        </w:rPr>
        <w:t>Section B</w:t>
      </w:r>
      <w:r w:rsidR="00F125D8" w:rsidRPr="00C2506A">
        <w:rPr>
          <w:rFonts w:ascii="Footlight MT Light" w:hAnsi="Footlight MT Light"/>
          <w:b/>
          <w:sz w:val="24"/>
          <w:szCs w:val="24"/>
        </w:rPr>
        <w:t>: Code 2</w:t>
      </w:r>
      <w:r w:rsidR="00266D7A" w:rsidRPr="00C2506A">
        <w:rPr>
          <w:rFonts w:ascii="Footlight MT Light" w:hAnsi="Footlight MT Light"/>
          <w:b/>
          <w:sz w:val="24"/>
          <w:szCs w:val="24"/>
        </w:rPr>
        <w:t>0</w:t>
      </w:r>
      <w:r w:rsidR="00F125D8" w:rsidRPr="00C2506A">
        <w:rPr>
          <w:rFonts w:ascii="Footlight MT Light" w:hAnsi="Footlight MT Light"/>
          <w:b/>
          <w:sz w:val="24"/>
          <w:szCs w:val="24"/>
        </w:rPr>
        <w:t>, Code 3</w:t>
      </w:r>
      <w:r w:rsidR="00266D7A" w:rsidRPr="00C2506A">
        <w:rPr>
          <w:rFonts w:ascii="Footlight MT Light" w:hAnsi="Footlight MT Light"/>
          <w:b/>
          <w:sz w:val="24"/>
          <w:szCs w:val="24"/>
        </w:rPr>
        <w:t>0</w:t>
      </w:r>
      <w:r w:rsidR="00F125D8" w:rsidRPr="00C2506A">
        <w:rPr>
          <w:rFonts w:ascii="Footlight MT Light" w:hAnsi="Footlight MT Light"/>
          <w:b/>
          <w:sz w:val="24"/>
          <w:szCs w:val="24"/>
        </w:rPr>
        <w:t>, and Code 4</w:t>
      </w:r>
      <w:r w:rsidR="00266D7A" w:rsidRPr="00C2506A">
        <w:rPr>
          <w:rFonts w:ascii="Footlight MT Light" w:hAnsi="Footlight MT Light"/>
          <w:b/>
          <w:sz w:val="24"/>
          <w:szCs w:val="24"/>
        </w:rPr>
        <w:t>0</w:t>
      </w:r>
      <w:r w:rsidR="00F125D8" w:rsidRPr="00C2506A">
        <w:rPr>
          <w:rFonts w:ascii="Footlight MT Light" w:hAnsi="Footlight MT Light"/>
          <w:b/>
          <w:sz w:val="24"/>
          <w:szCs w:val="24"/>
        </w:rPr>
        <w:t xml:space="preserve"> Schools</w:t>
      </w:r>
    </w:p>
    <w:p w:rsidR="00F125D8" w:rsidRPr="00C2506A" w:rsidRDefault="00F125D8" w:rsidP="00F125D8">
      <w:pPr>
        <w:pStyle w:val="ListParagraph"/>
        <w:spacing w:after="0"/>
        <w:ind w:left="0"/>
        <w:rPr>
          <w:rFonts w:ascii="Footlight MT Light" w:hAnsi="Footlight MT Light"/>
          <w:sz w:val="24"/>
          <w:szCs w:val="24"/>
        </w:rPr>
      </w:pPr>
    </w:p>
    <w:p w:rsidR="00F7212B" w:rsidRPr="00C2506A" w:rsidRDefault="00493434" w:rsidP="00F91F0F">
      <w:pPr>
        <w:pStyle w:val="ListParagraph"/>
        <w:numPr>
          <w:ilvl w:val="0"/>
          <w:numId w:val="5"/>
        </w:numPr>
        <w:tabs>
          <w:tab w:val="left" w:pos="0"/>
        </w:tabs>
        <w:spacing w:after="0"/>
        <w:ind w:left="0"/>
        <w:rPr>
          <w:rFonts w:ascii="Footlight MT Light" w:hAnsi="Footlight MT Light"/>
          <w:sz w:val="24"/>
          <w:szCs w:val="24"/>
        </w:rPr>
      </w:pPr>
      <w:r w:rsidRPr="00C2506A">
        <w:rPr>
          <w:rFonts w:ascii="Footlight MT Light" w:hAnsi="Footlight MT Light"/>
          <w:sz w:val="24"/>
          <w:szCs w:val="24"/>
        </w:rPr>
        <w:t>D</w:t>
      </w:r>
      <w:r w:rsidR="00784531" w:rsidRPr="00C2506A">
        <w:rPr>
          <w:rFonts w:ascii="Footlight MT Light" w:hAnsi="Footlight MT Light"/>
          <w:sz w:val="24"/>
          <w:szCs w:val="24"/>
        </w:rPr>
        <w:t xml:space="preserve">escribe the process used to calculate the additional State and local funds to derive the PPA reported on the Skipped School Allocation </w:t>
      </w:r>
      <w:r w:rsidRPr="00C2506A">
        <w:rPr>
          <w:rFonts w:ascii="Footlight MT Light" w:hAnsi="Footlight MT Light"/>
          <w:sz w:val="24"/>
          <w:szCs w:val="24"/>
        </w:rPr>
        <w:t>Worksheet for schools identified as Code 2</w:t>
      </w:r>
      <w:r w:rsidR="00266D7A" w:rsidRPr="00C2506A">
        <w:rPr>
          <w:rFonts w:ascii="Footlight MT Light" w:hAnsi="Footlight MT Light"/>
          <w:sz w:val="24"/>
          <w:szCs w:val="24"/>
        </w:rPr>
        <w:t>0</w:t>
      </w:r>
      <w:r w:rsidRPr="00C2506A">
        <w:rPr>
          <w:rFonts w:ascii="Footlight MT Light" w:hAnsi="Footlight MT Light"/>
          <w:sz w:val="24"/>
          <w:szCs w:val="24"/>
        </w:rPr>
        <w:t>, Code 3</w:t>
      </w:r>
      <w:r w:rsidR="00266D7A" w:rsidRPr="00C2506A">
        <w:rPr>
          <w:rFonts w:ascii="Footlight MT Light" w:hAnsi="Footlight MT Light"/>
          <w:sz w:val="24"/>
          <w:szCs w:val="24"/>
        </w:rPr>
        <w:t>0</w:t>
      </w:r>
      <w:r w:rsidRPr="00C2506A">
        <w:rPr>
          <w:rFonts w:ascii="Footlight MT Light" w:hAnsi="Footlight MT Light"/>
          <w:sz w:val="24"/>
          <w:szCs w:val="24"/>
        </w:rPr>
        <w:t xml:space="preserve"> and Code 4</w:t>
      </w:r>
      <w:r w:rsidR="00266D7A" w:rsidRPr="00C2506A">
        <w:rPr>
          <w:rFonts w:ascii="Footlight MT Light" w:hAnsi="Footlight MT Light"/>
          <w:sz w:val="24"/>
          <w:szCs w:val="24"/>
        </w:rPr>
        <w:t>0</w:t>
      </w:r>
      <w:r w:rsidRPr="00C2506A">
        <w:rPr>
          <w:rFonts w:ascii="Footlight MT Light" w:hAnsi="Footlight MT Light"/>
          <w:sz w:val="24"/>
          <w:szCs w:val="24"/>
        </w:rPr>
        <w:t>.</w:t>
      </w:r>
    </w:p>
    <w:p w:rsidR="00F91F0F" w:rsidRPr="00C2506A" w:rsidRDefault="00F91F0F" w:rsidP="00F91F0F">
      <w:pPr>
        <w:spacing w:after="0"/>
        <w:rPr>
          <w:rFonts w:ascii="Footlight MT Light" w:hAnsi="Footlight MT Light"/>
          <w:b/>
          <w:i/>
          <w:sz w:val="28"/>
          <w:szCs w:val="28"/>
        </w:rPr>
      </w:pPr>
    </w:p>
    <w:sectPr w:rsidR="00F91F0F" w:rsidRPr="00C2506A" w:rsidSect="00D42F0E">
      <w:headerReference w:type="default" r:id="rId12"/>
      <w:footerReference w:type="defaul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6B2" w:rsidRDefault="00C716B2" w:rsidP="006F2E67">
      <w:pPr>
        <w:spacing w:after="0" w:line="240" w:lineRule="auto"/>
      </w:pPr>
      <w:r>
        <w:separator/>
      </w:r>
    </w:p>
  </w:endnote>
  <w:endnote w:type="continuationSeparator" w:id="0">
    <w:p w:rsidR="00C716B2" w:rsidRDefault="00C716B2" w:rsidP="006F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66" w:rsidRDefault="007A5466" w:rsidP="00540805">
    <w:pPr>
      <w:spacing w:line="240" w:lineRule="auto"/>
      <w:rPr>
        <w:rFonts w:ascii="Footlight MT Light" w:hAnsi="Footlight MT Light"/>
        <w:sz w:val="18"/>
        <w:szCs w:val="18"/>
      </w:rPr>
    </w:pPr>
    <w:r w:rsidRPr="006F2E67">
      <w:rPr>
        <w:rFonts w:ascii="Footlight MT Light" w:hAnsi="Footlight MT Light"/>
        <w:sz w:val="18"/>
        <w:szCs w:val="18"/>
      </w:rPr>
      <w:t>Section 1113(b)</w:t>
    </w:r>
    <w:r>
      <w:rPr>
        <w:rFonts w:ascii="Footlight MT Light" w:hAnsi="Footlight MT Light"/>
        <w:sz w:val="18"/>
        <w:szCs w:val="18"/>
      </w:rPr>
      <w:t>(1)(D)</w:t>
    </w:r>
    <w:r w:rsidRPr="006F2E67">
      <w:rPr>
        <w:rFonts w:ascii="Footlight MT Light" w:hAnsi="Footlight MT Light"/>
        <w:sz w:val="18"/>
        <w:szCs w:val="18"/>
      </w:rPr>
      <w:t xml:space="preserve"> of ESEA includes a “skipping provision” that permits the school system not to serve an eligible Title I school that has a high percentage of low-income students if the school meets all three of the following conditions:</w:t>
    </w:r>
  </w:p>
  <w:p w:rsidR="007A5466" w:rsidRDefault="007A5466" w:rsidP="00540805">
    <w:pPr>
      <w:pStyle w:val="ListParagraph"/>
      <w:numPr>
        <w:ilvl w:val="0"/>
        <w:numId w:val="1"/>
      </w:numPr>
      <w:spacing w:line="240" w:lineRule="auto"/>
      <w:rPr>
        <w:rFonts w:ascii="Footlight MT Light" w:hAnsi="Footlight MT Light"/>
        <w:sz w:val="18"/>
        <w:szCs w:val="18"/>
      </w:rPr>
    </w:pPr>
    <w:r>
      <w:rPr>
        <w:rFonts w:ascii="Footlight MT Light" w:hAnsi="Footlight MT Light"/>
        <w:sz w:val="18"/>
        <w:szCs w:val="18"/>
      </w:rPr>
      <w:t>The school meets the comparability requirements of section 1120(A)(c);</w:t>
    </w:r>
  </w:p>
  <w:p w:rsidR="007A5466" w:rsidRDefault="007A5466" w:rsidP="00540805">
    <w:pPr>
      <w:pStyle w:val="ListParagraph"/>
      <w:numPr>
        <w:ilvl w:val="0"/>
        <w:numId w:val="1"/>
      </w:numPr>
      <w:spacing w:line="240" w:lineRule="auto"/>
      <w:rPr>
        <w:rFonts w:ascii="Footlight MT Light" w:hAnsi="Footlight MT Light"/>
        <w:sz w:val="18"/>
        <w:szCs w:val="18"/>
      </w:rPr>
    </w:pPr>
    <w:r>
      <w:rPr>
        <w:rFonts w:ascii="Footlight MT Light" w:hAnsi="Footlight MT Light"/>
        <w:sz w:val="18"/>
        <w:szCs w:val="18"/>
      </w:rPr>
      <w:t>The school is receiving supplemental funds from other State or local sources that are spent according to the requirements of section</w:t>
    </w:r>
    <w:r w:rsidR="009850F3">
      <w:rPr>
        <w:rFonts w:ascii="Footlight MT Light" w:hAnsi="Footlight MT Light"/>
        <w:sz w:val="18"/>
        <w:szCs w:val="18"/>
      </w:rPr>
      <w:t xml:space="preserve"> 1</w:t>
    </w:r>
    <w:r>
      <w:rPr>
        <w:rFonts w:ascii="Footlight MT Light" w:hAnsi="Footlight MT Light"/>
        <w:sz w:val="18"/>
        <w:szCs w:val="18"/>
      </w:rPr>
      <w:t xml:space="preserve">114 or </w:t>
    </w:r>
    <w:r w:rsidR="009850F3">
      <w:rPr>
        <w:rFonts w:ascii="Footlight MT Light" w:hAnsi="Footlight MT Light"/>
        <w:sz w:val="18"/>
        <w:szCs w:val="18"/>
      </w:rPr>
      <w:t>1</w:t>
    </w:r>
    <w:r>
      <w:rPr>
        <w:rFonts w:ascii="Footlight MT Light" w:hAnsi="Footlight MT Light"/>
        <w:sz w:val="18"/>
        <w:szCs w:val="18"/>
      </w:rPr>
      <w:t>115; and</w:t>
    </w:r>
  </w:p>
  <w:p w:rsidR="007A5466" w:rsidRPr="00540805" w:rsidRDefault="007A5466" w:rsidP="00540805">
    <w:pPr>
      <w:pStyle w:val="ListParagraph"/>
      <w:numPr>
        <w:ilvl w:val="0"/>
        <w:numId w:val="1"/>
      </w:numPr>
      <w:spacing w:line="240" w:lineRule="auto"/>
      <w:rPr>
        <w:rFonts w:ascii="Footlight MT Light" w:hAnsi="Footlight MT Light"/>
        <w:sz w:val="18"/>
        <w:szCs w:val="18"/>
      </w:rPr>
    </w:pPr>
    <w:r>
      <w:rPr>
        <w:rFonts w:ascii="Footlight MT Light" w:hAnsi="Footlight MT Light"/>
        <w:sz w:val="18"/>
        <w:szCs w:val="18"/>
      </w:rPr>
      <w:t>The funds expended from these other sources equal or exceed the amount that would be provided by Title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66" w:rsidRDefault="007A5466" w:rsidP="003F5744">
    <w:pPr>
      <w:spacing w:after="0" w:line="240" w:lineRule="auto"/>
      <w:rPr>
        <w:rFonts w:ascii="Footlight MT Light" w:hAnsi="Footlight MT Light"/>
        <w:sz w:val="18"/>
        <w:szCs w:val="18"/>
      </w:rPr>
    </w:pPr>
    <w:r>
      <w:rPr>
        <w:rFonts w:ascii="Footlight MT Light" w:hAnsi="Footlight MT Light"/>
        <w:sz w:val="18"/>
        <w:szCs w:val="18"/>
      </w:rPr>
      <w:t>Program Improvement and Family Support Branch</w:t>
    </w:r>
  </w:p>
  <w:p w:rsidR="007A5466" w:rsidRDefault="007A5466" w:rsidP="003F5744">
    <w:pPr>
      <w:spacing w:after="0" w:line="240" w:lineRule="auto"/>
      <w:rPr>
        <w:rFonts w:ascii="Footlight MT Light" w:hAnsi="Footlight MT Light"/>
        <w:sz w:val="18"/>
        <w:szCs w:val="18"/>
      </w:rPr>
    </w:pPr>
    <w:r>
      <w:rPr>
        <w:rFonts w:ascii="Footlight MT Light" w:hAnsi="Footlight MT Light"/>
        <w:sz w:val="18"/>
        <w:szCs w:val="18"/>
      </w:rPr>
      <w:t>Division of Student, Family, and School Support</w:t>
    </w:r>
    <w:r w:rsidR="004524AE">
      <w:rPr>
        <w:rFonts w:ascii="Footlight MT Light" w:hAnsi="Footlight MT Light"/>
        <w:sz w:val="18"/>
        <w:szCs w:val="18"/>
      </w:rPr>
      <w:t xml:space="preserve">, </w:t>
    </w:r>
    <w:r w:rsidR="005A0B73">
      <w:rPr>
        <w:rFonts w:ascii="Footlight MT Light" w:hAnsi="Footlight MT Light"/>
        <w:sz w:val="18"/>
        <w:szCs w:val="18"/>
      </w:rPr>
      <w:t>May 10, 2016</w:t>
    </w:r>
  </w:p>
  <w:p w:rsidR="007A5466" w:rsidRPr="00540805" w:rsidRDefault="007A5466" w:rsidP="00540805">
    <w:pPr>
      <w:spacing w:line="240" w:lineRule="auto"/>
      <w:rPr>
        <w:rFonts w:ascii="Footlight MT Light" w:hAnsi="Footlight MT Light"/>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6B2" w:rsidRDefault="00C716B2" w:rsidP="006F2E67">
      <w:pPr>
        <w:spacing w:after="0" w:line="240" w:lineRule="auto"/>
      </w:pPr>
      <w:r>
        <w:separator/>
      </w:r>
    </w:p>
  </w:footnote>
  <w:footnote w:type="continuationSeparator" w:id="0">
    <w:p w:rsidR="00C716B2" w:rsidRDefault="00C716B2" w:rsidP="006F2E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66" w:rsidRDefault="007A5466">
    <w:pPr>
      <w:pStyle w:val="Header"/>
      <w:rPr>
        <w:rFonts w:ascii="Footlight MT Light" w:hAnsi="Footlight MT Light"/>
      </w:rPr>
    </w:pPr>
    <w:r>
      <w:rPr>
        <w:rFonts w:ascii="Footlight MT Light" w:hAnsi="Footlight MT Light"/>
      </w:rPr>
      <w:t xml:space="preserve">Title I Skipped Schools’ </w:t>
    </w:r>
    <w:r w:rsidRPr="006F2E67">
      <w:rPr>
        <w:rFonts w:ascii="Footlight MT Light" w:hAnsi="Footlight MT Light"/>
      </w:rPr>
      <w:t xml:space="preserve">Addendum </w:t>
    </w:r>
    <w:r>
      <w:rPr>
        <w:rFonts w:ascii="Footlight MT Light" w:hAnsi="Footlight MT Light"/>
      </w:rPr>
      <w:t>for SY 201</w:t>
    </w:r>
    <w:r w:rsidR="004524AE">
      <w:rPr>
        <w:rFonts w:ascii="Footlight MT Light" w:hAnsi="Footlight MT Light"/>
      </w:rPr>
      <w:t>6-2017</w:t>
    </w:r>
  </w:p>
  <w:p w:rsidR="007A5466" w:rsidRPr="006F2E67" w:rsidRDefault="007A5466">
    <w:pPr>
      <w:pStyle w:val="Header"/>
      <w:rPr>
        <w:rFonts w:ascii="Footlight MT Light" w:hAnsi="Footlight MT Light"/>
      </w:rPr>
    </w:pPr>
    <w:r>
      <w:rPr>
        <w:rFonts w:ascii="Footlight MT Light" w:hAnsi="Footlight MT Light"/>
      </w:rPr>
      <w:t>Maryland State Department of Education</w:t>
    </w:r>
    <w:r w:rsidR="00571C52">
      <w:rPr>
        <w:rFonts w:ascii="Footlight MT Light" w:hAnsi="Footlight MT Light"/>
      </w:rPr>
      <w:t>, Final June 6, 2016</w:t>
    </w:r>
  </w:p>
  <w:p w:rsidR="007A5466" w:rsidRDefault="007A5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66" w:rsidRDefault="007A5466">
    <w:pPr>
      <w:pStyle w:val="Header"/>
      <w:rPr>
        <w:rFonts w:ascii="Footlight MT Light" w:hAnsi="Footlight MT Light"/>
      </w:rPr>
    </w:pPr>
    <w:r>
      <w:rPr>
        <w:rFonts w:ascii="Footlight MT Light" w:hAnsi="Footlight MT Light"/>
      </w:rPr>
      <w:t xml:space="preserve">Title I Skipped Schools’ </w:t>
    </w:r>
    <w:r w:rsidRPr="006F2E67">
      <w:rPr>
        <w:rFonts w:ascii="Footlight MT Light" w:hAnsi="Footlight MT Light"/>
      </w:rPr>
      <w:t>Addendum</w:t>
    </w:r>
    <w:r>
      <w:rPr>
        <w:rFonts w:ascii="Footlight MT Light" w:hAnsi="Footlight MT Light"/>
      </w:rPr>
      <w:t xml:space="preserve"> for SY</w:t>
    </w:r>
    <w:r w:rsidRPr="006F2E67">
      <w:rPr>
        <w:rFonts w:ascii="Footlight MT Light" w:hAnsi="Footlight MT Light"/>
      </w:rPr>
      <w:t xml:space="preserve"> </w:t>
    </w:r>
    <w:r w:rsidR="004524AE">
      <w:rPr>
        <w:rFonts w:ascii="Footlight MT Light" w:hAnsi="Footlight MT Light"/>
      </w:rPr>
      <w:t>2016-2017</w:t>
    </w:r>
  </w:p>
  <w:p w:rsidR="007A5466" w:rsidRPr="006F2E67" w:rsidRDefault="007A5466">
    <w:pPr>
      <w:pStyle w:val="Header"/>
      <w:rPr>
        <w:rFonts w:ascii="Footlight MT Light" w:hAnsi="Footlight MT Light"/>
      </w:rPr>
    </w:pPr>
    <w:r>
      <w:rPr>
        <w:rFonts w:ascii="Footlight MT Light" w:hAnsi="Footlight MT Light"/>
      </w:rPr>
      <w:t>Maryland State Department of Education</w:t>
    </w:r>
  </w:p>
  <w:p w:rsidR="007A5466" w:rsidRDefault="007A5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B3D70"/>
    <w:multiLevelType w:val="hybridMultilevel"/>
    <w:tmpl w:val="4E743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C2309"/>
    <w:multiLevelType w:val="hybridMultilevel"/>
    <w:tmpl w:val="873A34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FBE17E7"/>
    <w:multiLevelType w:val="hybridMultilevel"/>
    <w:tmpl w:val="4E4C2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520833"/>
    <w:multiLevelType w:val="hybridMultilevel"/>
    <w:tmpl w:val="F37446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E5D40"/>
    <w:multiLevelType w:val="hybridMultilevel"/>
    <w:tmpl w:val="9214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2E67"/>
    <w:rsid w:val="00072553"/>
    <w:rsid w:val="00072EFC"/>
    <w:rsid w:val="000D47BB"/>
    <w:rsid w:val="000E3DE1"/>
    <w:rsid w:val="001D0A24"/>
    <w:rsid w:val="0024395D"/>
    <w:rsid w:val="00252E9F"/>
    <w:rsid w:val="00266D7A"/>
    <w:rsid w:val="002946CB"/>
    <w:rsid w:val="002D647A"/>
    <w:rsid w:val="002F0E28"/>
    <w:rsid w:val="003A6746"/>
    <w:rsid w:val="003A784E"/>
    <w:rsid w:val="003F5744"/>
    <w:rsid w:val="00443E97"/>
    <w:rsid w:val="00451A58"/>
    <w:rsid w:val="004524AE"/>
    <w:rsid w:val="00493434"/>
    <w:rsid w:val="004F6501"/>
    <w:rsid w:val="00501B59"/>
    <w:rsid w:val="005231D0"/>
    <w:rsid w:val="00523553"/>
    <w:rsid w:val="00540805"/>
    <w:rsid w:val="00571C52"/>
    <w:rsid w:val="00591795"/>
    <w:rsid w:val="00594306"/>
    <w:rsid w:val="005A0B73"/>
    <w:rsid w:val="005F6D9C"/>
    <w:rsid w:val="006158A9"/>
    <w:rsid w:val="00624255"/>
    <w:rsid w:val="006421A9"/>
    <w:rsid w:val="00671C87"/>
    <w:rsid w:val="006F2E67"/>
    <w:rsid w:val="0070111E"/>
    <w:rsid w:val="007409AE"/>
    <w:rsid w:val="00784531"/>
    <w:rsid w:val="007A5466"/>
    <w:rsid w:val="007D4D55"/>
    <w:rsid w:val="00874CDB"/>
    <w:rsid w:val="00875274"/>
    <w:rsid w:val="00891246"/>
    <w:rsid w:val="009026ED"/>
    <w:rsid w:val="009167A2"/>
    <w:rsid w:val="00923B61"/>
    <w:rsid w:val="009267CF"/>
    <w:rsid w:val="00950C9E"/>
    <w:rsid w:val="00974E01"/>
    <w:rsid w:val="009850F3"/>
    <w:rsid w:val="00A00902"/>
    <w:rsid w:val="00A91A45"/>
    <w:rsid w:val="00B543AF"/>
    <w:rsid w:val="00B76537"/>
    <w:rsid w:val="00BA18A9"/>
    <w:rsid w:val="00BC2852"/>
    <w:rsid w:val="00BD6D17"/>
    <w:rsid w:val="00C06A8C"/>
    <w:rsid w:val="00C2506A"/>
    <w:rsid w:val="00C3172A"/>
    <w:rsid w:val="00C4799B"/>
    <w:rsid w:val="00C716B2"/>
    <w:rsid w:val="00D1158E"/>
    <w:rsid w:val="00D40205"/>
    <w:rsid w:val="00D42F0E"/>
    <w:rsid w:val="00D53450"/>
    <w:rsid w:val="00D86ADD"/>
    <w:rsid w:val="00DB015D"/>
    <w:rsid w:val="00E17DE2"/>
    <w:rsid w:val="00E910A2"/>
    <w:rsid w:val="00EA5835"/>
    <w:rsid w:val="00EB097F"/>
    <w:rsid w:val="00EC7B9E"/>
    <w:rsid w:val="00F125D8"/>
    <w:rsid w:val="00F20F52"/>
    <w:rsid w:val="00F26F34"/>
    <w:rsid w:val="00F7212B"/>
    <w:rsid w:val="00F91F0F"/>
    <w:rsid w:val="00FA0DB7"/>
    <w:rsid w:val="00FD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E67"/>
  </w:style>
  <w:style w:type="paragraph" w:styleId="Footer">
    <w:name w:val="footer"/>
    <w:basedOn w:val="Normal"/>
    <w:link w:val="FooterChar"/>
    <w:uiPriority w:val="99"/>
    <w:unhideWhenUsed/>
    <w:rsid w:val="006F2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E67"/>
  </w:style>
  <w:style w:type="paragraph" w:styleId="ListParagraph">
    <w:name w:val="List Paragraph"/>
    <w:basedOn w:val="Normal"/>
    <w:uiPriority w:val="34"/>
    <w:qFormat/>
    <w:rsid w:val="006F2E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0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397D8-6BCE-47EC-B2A2-B848A5BB9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 Lamb</cp:lastModifiedBy>
  <cp:revision>5</cp:revision>
  <cp:lastPrinted>2016-05-10T14:42:00Z</cp:lastPrinted>
  <dcterms:created xsi:type="dcterms:W3CDTF">2016-05-06T15:44:00Z</dcterms:created>
  <dcterms:modified xsi:type="dcterms:W3CDTF">2016-06-07T11:49:00Z</dcterms:modified>
</cp:coreProperties>
</file>